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37F37BFB"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90</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1F5286">
        <w:rPr>
          <w:rFonts w:ascii="Arial" w:hAnsi="Arial" w:cs="Arial"/>
          <w:sz w:val="24"/>
          <w:szCs w:val="28"/>
          <w:lang w:val="en-CA"/>
        </w:rPr>
        <w:t>1522</w:t>
      </w:r>
    </w:p>
    <w:p w14:paraId="4F58942D" w14:textId="2AC0181D" w:rsidR="00D80957" w:rsidRPr="00457F73" w:rsidRDefault="00347CC4"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Greece</w:t>
      </w:r>
      <w:r w:rsidR="00A2225E">
        <w:rPr>
          <w:rFonts w:ascii="Arial" w:hAnsi="Arial" w:cs="Arial"/>
          <w:sz w:val="24"/>
          <w:szCs w:val="28"/>
          <w:lang w:val="en-CA"/>
        </w:rPr>
        <w:t xml:space="preserve">, </w:t>
      </w:r>
      <w:r>
        <w:rPr>
          <w:rFonts w:ascii="Arial" w:hAnsi="Arial" w:cs="Arial"/>
          <w:sz w:val="24"/>
          <w:szCs w:val="28"/>
          <w:lang w:val="en-CA"/>
        </w:rPr>
        <w:t>February</w:t>
      </w:r>
      <w:r w:rsidR="00DF79AF">
        <w:rPr>
          <w:rFonts w:ascii="Arial" w:hAnsi="Arial" w:cs="Arial"/>
          <w:sz w:val="24"/>
          <w:szCs w:val="28"/>
          <w:lang w:val="en-CA"/>
        </w:rPr>
        <w:t xml:space="preserve"> </w:t>
      </w:r>
      <w:r>
        <w:rPr>
          <w:rFonts w:ascii="Arial" w:hAnsi="Arial" w:cs="Arial"/>
          <w:sz w:val="24"/>
          <w:szCs w:val="28"/>
          <w:lang w:val="en-CA"/>
        </w:rPr>
        <w:t>25</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March 1, 2019</w:t>
      </w:r>
    </w:p>
    <w:p w14:paraId="14395BAA" w14:textId="7CB0A1F6"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AD06E1">
        <w:rPr>
          <w:rFonts w:ascii="Arial" w:hAnsi="Arial" w:cs="Arial"/>
          <w:sz w:val="22"/>
          <w:szCs w:val="22"/>
          <w:lang w:val="en-US"/>
        </w:rPr>
        <w:t>6</w:t>
      </w:r>
      <w:r w:rsidR="005551F5">
        <w:rPr>
          <w:rFonts w:ascii="Arial" w:hAnsi="Arial" w:cs="Arial"/>
          <w:sz w:val="22"/>
          <w:szCs w:val="22"/>
          <w:lang w:val="en-US"/>
        </w:rPr>
        <w:t>.</w:t>
      </w:r>
      <w:r w:rsidR="00AD06E1">
        <w:rPr>
          <w:rFonts w:ascii="Arial" w:hAnsi="Arial" w:cs="Arial"/>
          <w:sz w:val="22"/>
          <w:szCs w:val="22"/>
          <w:lang w:val="en-US"/>
        </w:rPr>
        <w:t>4</w:t>
      </w:r>
      <w:r w:rsidR="005551F5">
        <w:rPr>
          <w:rFonts w:ascii="Arial" w:hAnsi="Arial" w:cs="Arial"/>
          <w:sz w:val="22"/>
          <w:szCs w:val="22"/>
          <w:lang w:val="en-US"/>
        </w:rPr>
        <w:t>.</w:t>
      </w:r>
      <w:r w:rsidR="00AD06E1">
        <w:rPr>
          <w:rFonts w:ascii="Arial" w:hAnsi="Arial" w:cs="Arial"/>
          <w:sz w:val="22"/>
          <w:szCs w:val="22"/>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472ADEC9"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C140F5">
        <w:rPr>
          <w:rFonts w:ascii="Arial" w:hAnsi="Arial" w:cs="Arial"/>
          <w:sz w:val="22"/>
          <w:szCs w:val="22"/>
          <w:lang w:val="en-CA"/>
        </w:rPr>
        <w:t xml:space="preserve">On </w:t>
      </w:r>
      <w:r w:rsidR="00DF79AF">
        <w:rPr>
          <w:rFonts w:ascii="Arial" w:hAnsi="Arial" w:cs="Arial"/>
          <w:sz w:val="22"/>
          <w:szCs w:val="22"/>
          <w:lang w:val="en-CA"/>
        </w:rPr>
        <w:t>SFTD</w:t>
      </w:r>
      <w:r w:rsidR="006650C0">
        <w:rPr>
          <w:rFonts w:ascii="Arial" w:hAnsi="Arial" w:cs="Arial"/>
          <w:sz w:val="22"/>
          <w:szCs w:val="22"/>
          <w:lang w:val="en-CA"/>
        </w:rPr>
        <w:t xml:space="preserve"> for NR</w:t>
      </w:r>
      <w:r w:rsidR="00B41BFC">
        <w:rPr>
          <w:rFonts w:ascii="Arial" w:hAnsi="Arial" w:cs="Arial"/>
          <w:sz w:val="22"/>
          <w:szCs w:val="22"/>
          <w:lang w:val="en-CA"/>
        </w:rPr>
        <w:t>-DC</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3D4B9990" w14:textId="215AC3F9" w:rsidR="000404DC" w:rsidRDefault="000404DC" w:rsidP="00364887">
      <w:pPr>
        <w:jc w:val="both"/>
        <w:rPr>
          <w:sz w:val="22"/>
          <w:lang w:val="en-CA"/>
        </w:rPr>
      </w:pPr>
      <w:r>
        <w:rPr>
          <w:sz w:val="22"/>
          <w:lang w:val="en-CA"/>
        </w:rPr>
        <w:t>At RAN4#</w:t>
      </w:r>
      <w:r w:rsidR="00092A1F">
        <w:rPr>
          <w:sz w:val="22"/>
          <w:lang w:val="en-CA"/>
        </w:rPr>
        <w:t>88</w:t>
      </w:r>
      <w:r>
        <w:rPr>
          <w:sz w:val="22"/>
          <w:lang w:val="en-CA"/>
        </w:rPr>
        <w:t xml:space="preserve"> it was agreed that inter-frequency SFTD, i.e., SFTD between NR serving cell and NR neighbour cell, is to be introduced</w:t>
      </w:r>
      <w:r w:rsidR="00D74BAE">
        <w:rPr>
          <w:sz w:val="22"/>
          <w:lang w:val="en-CA"/>
        </w:rPr>
        <w:t xml:space="preserve"> to support setup of NR-DC operation</w:t>
      </w:r>
      <w:r>
        <w:rPr>
          <w:sz w:val="22"/>
          <w:lang w:val="en-CA"/>
        </w:rPr>
        <w:t xml:space="preserve">. The agreement was captured in a WF </w:t>
      </w:r>
      <w:r>
        <w:rPr>
          <w:sz w:val="22"/>
          <w:lang w:val="en-CA"/>
        </w:rPr>
        <w:fldChar w:fldCharType="begin"/>
      </w:r>
      <w:r>
        <w:rPr>
          <w:sz w:val="22"/>
          <w:lang w:val="en-CA"/>
        </w:rPr>
        <w:instrText xml:space="preserve"> REF _Ref523940086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w:t>
      </w:r>
    </w:p>
    <w:p w14:paraId="7B1315CF" w14:textId="3790AEEB" w:rsidR="00AF4894" w:rsidRDefault="00D74BAE" w:rsidP="00364887">
      <w:pPr>
        <w:jc w:val="both"/>
        <w:rPr>
          <w:sz w:val="22"/>
          <w:lang w:val="en-CA"/>
        </w:rPr>
      </w:pPr>
      <w:r>
        <w:rPr>
          <w:sz w:val="22"/>
          <w:lang w:val="en-CA"/>
        </w:rPr>
        <w:t>In this contribution we are proposing core and performance requirements for NR inter-frequency SFTD for support of NR-DC setup.</w:t>
      </w:r>
    </w:p>
    <w:p w14:paraId="79051E83" w14:textId="32324AB8" w:rsidR="0042287B" w:rsidRPr="00E87D8C" w:rsidRDefault="00FF6031" w:rsidP="00E87D8C">
      <w:pPr>
        <w:pStyle w:val="Heading1"/>
        <w:ind w:left="431" w:hanging="431"/>
        <w:rPr>
          <w:szCs w:val="36"/>
          <w:lang w:val="en-CA"/>
        </w:rPr>
      </w:pPr>
      <w:r>
        <w:rPr>
          <w:szCs w:val="36"/>
          <w:lang w:val="en-CA"/>
        </w:rPr>
        <w:t>Discussion</w:t>
      </w:r>
    </w:p>
    <w:p w14:paraId="441B2E25" w14:textId="5CAD9ED7" w:rsidR="005D64ED" w:rsidRPr="005D64ED" w:rsidRDefault="005D64ED" w:rsidP="005D64ED">
      <w:pPr>
        <w:rPr>
          <w:sz w:val="22"/>
          <w:lang w:val="en-CA"/>
        </w:rPr>
      </w:pPr>
      <w:r>
        <w:rPr>
          <w:sz w:val="22"/>
          <w:lang w:val="en-CA"/>
        </w:rPr>
        <w:t>In Rel-15 scope, the late drop</w:t>
      </w:r>
      <w:r w:rsidR="00D74BAE">
        <w:rPr>
          <w:sz w:val="22"/>
          <w:lang w:val="en-CA"/>
        </w:rPr>
        <w:t xml:space="preserve"> NR-DC </w:t>
      </w:r>
      <w:r>
        <w:rPr>
          <w:sz w:val="22"/>
          <w:lang w:val="en-CA"/>
        </w:rPr>
        <w:t xml:space="preserve">is limited to the following as captured in the WI exception sheet </w:t>
      </w:r>
      <w:r>
        <w:rPr>
          <w:sz w:val="22"/>
          <w:lang w:val="en-CA"/>
        </w:rPr>
        <w:fldChar w:fldCharType="begin"/>
      </w:r>
      <w:r>
        <w:rPr>
          <w:sz w:val="22"/>
          <w:lang w:val="en-CA"/>
        </w:rPr>
        <w:instrText xml:space="preserve"> REF _Ref536799234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101711A3" w14:textId="77777777" w:rsidR="005D64ED" w:rsidRPr="00D02ABB" w:rsidRDefault="005D64ED" w:rsidP="00E87D8C">
      <w:pPr>
        <w:overflowPunct w:val="0"/>
        <w:autoSpaceDE w:val="0"/>
        <w:autoSpaceDN w:val="0"/>
        <w:adjustRightInd w:val="0"/>
        <w:spacing w:after="0"/>
        <w:ind w:left="852"/>
        <w:rPr>
          <w:rFonts w:ascii="Arial" w:eastAsia="MS Mincho" w:hAnsi="Arial"/>
          <w:u w:val="single"/>
          <w:lang w:eastAsia="ja-JP"/>
        </w:rPr>
      </w:pPr>
      <w:r w:rsidRPr="00D02ABB">
        <w:rPr>
          <w:rFonts w:ascii="Arial" w:eastAsia="MS Mincho" w:hAnsi="Arial"/>
          <w:u w:val="single"/>
          <w:lang w:eastAsia="ja-JP"/>
        </w:rPr>
        <w:t>For SA (Option 2) only:</w:t>
      </w:r>
    </w:p>
    <w:p w14:paraId="600C448C" w14:textId="77777777" w:rsidR="005D64ED" w:rsidRPr="00D02ABB" w:rsidRDefault="005D64ED" w:rsidP="00E87D8C">
      <w:pPr>
        <w:numPr>
          <w:ilvl w:val="0"/>
          <w:numId w:val="48"/>
        </w:numPr>
        <w:tabs>
          <w:tab w:val="clear" w:pos="1134"/>
          <w:tab w:val="left" w:pos="567"/>
          <w:tab w:val="num" w:pos="1288"/>
          <w:tab w:val="num" w:pos="1418"/>
        </w:tabs>
        <w:overflowPunct w:val="0"/>
        <w:autoSpaceDE w:val="0"/>
        <w:autoSpaceDN w:val="0"/>
        <w:adjustRightInd w:val="0"/>
        <w:snapToGrid w:val="0"/>
        <w:spacing w:after="0"/>
        <w:ind w:left="1572"/>
        <w:rPr>
          <w:rFonts w:ascii="Arial" w:eastAsia="MS Mincho" w:hAnsi="Arial" w:cs="Arial"/>
        </w:rPr>
      </w:pPr>
      <w:r w:rsidRPr="00D02ABB">
        <w:rPr>
          <w:rFonts w:ascii="Arial" w:eastAsia="MS Mincho" w:hAnsi="Arial" w:cs="Arial"/>
          <w:lang w:eastAsia="ja-JP"/>
        </w:rPr>
        <w:t>NR-NR Dual connectivity aspects</w:t>
      </w:r>
    </w:p>
    <w:p w14:paraId="51AEA0C0" w14:textId="77777777" w:rsidR="005D64ED" w:rsidRPr="00D02ABB" w:rsidRDefault="005D64ED" w:rsidP="00E87D8C">
      <w:pPr>
        <w:numPr>
          <w:ilvl w:val="0"/>
          <w:numId w:val="49"/>
        </w:numPr>
        <w:tabs>
          <w:tab w:val="left" w:pos="567"/>
        </w:tabs>
        <w:overflowPunct w:val="0"/>
        <w:autoSpaceDE w:val="0"/>
        <w:autoSpaceDN w:val="0"/>
        <w:adjustRightInd w:val="0"/>
        <w:snapToGrid w:val="0"/>
        <w:spacing w:after="0"/>
        <w:ind w:left="1835" w:right="200"/>
        <w:rPr>
          <w:rFonts w:ascii="Arial" w:eastAsia="MS Mincho" w:hAnsi="Arial" w:cs="Arial"/>
          <w:lang w:eastAsia="ja-JP"/>
        </w:rPr>
      </w:pPr>
      <w:r w:rsidRPr="00D02ABB">
        <w:rPr>
          <w:rFonts w:ascii="Arial" w:eastAsia="MS Mincho" w:hAnsi="Arial" w:cs="Arial"/>
          <w:lang w:eastAsia="ja-JP"/>
        </w:rPr>
        <w:t>synchronous mode from physical layer aspects;</w:t>
      </w:r>
    </w:p>
    <w:p w14:paraId="3359C330" w14:textId="77777777" w:rsidR="005D64ED" w:rsidRPr="00D02ABB" w:rsidRDefault="005D64ED" w:rsidP="00E87D8C">
      <w:pPr>
        <w:numPr>
          <w:ilvl w:val="0"/>
          <w:numId w:val="49"/>
        </w:numPr>
        <w:tabs>
          <w:tab w:val="left" w:pos="567"/>
        </w:tabs>
        <w:overflowPunct w:val="0"/>
        <w:autoSpaceDE w:val="0"/>
        <w:autoSpaceDN w:val="0"/>
        <w:adjustRightInd w:val="0"/>
        <w:snapToGrid w:val="0"/>
        <w:spacing w:after="0"/>
        <w:ind w:left="1835" w:right="200"/>
        <w:rPr>
          <w:rFonts w:ascii="Arial" w:eastAsia="MS Mincho" w:hAnsi="Arial" w:cs="Arial"/>
          <w:lang w:eastAsia="ja-JP"/>
        </w:rPr>
      </w:pPr>
      <w:r w:rsidRPr="00D02ABB">
        <w:rPr>
          <w:rFonts w:ascii="Arial" w:eastAsia="MS Mincho" w:hAnsi="Arial" w:cs="Arial"/>
          <w:lang w:eastAsia="ja-JP"/>
        </w:rPr>
        <w:t>Band combination(s) for FR1 + FR2;</w:t>
      </w:r>
    </w:p>
    <w:p w14:paraId="15A1CF53" w14:textId="77777777" w:rsidR="005D64ED" w:rsidRPr="00D02ABB" w:rsidRDefault="005D64ED" w:rsidP="00E87D8C">
      <w:pPr>
        <w:numPr>
          <w:ilvl w:val="0"/>
          <w:numId w:val="49"/>
        </w:numPr>
        <w:tabs>
          <w:tab w:val="left" w:pos="567"/>
        </w:tabs>
        <w:overflowPunct w:val="0"/>
        <w:autoSpaceDE w:val="0"/>
        <w:autoSpaceDN w:val="0"/>
        <w:adjustRightInd w:val="0"/>
        <w:snapToGrid w:val="0"/>
        <w:spacing w:after="0"/>
        <w:ind w:left="1835" w:right="200"/>
        <w:rPr>
          <w:rFonts w:ascii="Arial" w:eastAsia="MS Mincho" w:hAnsi="Arial" w:cs="Arial"/>
          <w:lang w:eastAsia="ja-JP"/>
        </w:rPr>
      </w:pPr>
      <w:r w:rsidRPr="00D02ABB">
        <w:rPr>
          <w:rFonts w:ascii="Arial" w:eastAsia="MS Mincho" w:hAnsi="Arial" w:cs="Arial"/>
          <w:lang w:eastAsia="ja-JP"/>
        </w:rPr>
        <w:t>MCG fully in FR1 and SCG fully in FR2</w:t>
      </w:r>
    </w:p>
    <w:p w14:paraId="7B9B502E" w14:textId="77777777" w:rsidR="005D64ED" w:rsidRPr="00D02ABB" w:rsidRDefault="005D64ED" w:rsidP="00E87D8C">
      <w:pPr>
        <w:numPr>
          <w:ilvl w:val="0"/>
          <w:numId w:val="49"/>
        </w:numPr>
        <w:tabs>
          <w:tab w:val="left" w:pos="567"/>
        </w:tabs>
        <w:overflowPunct w:val="0"/>
        <w:autoSpaceDE w:val="0"/>
        <w:autoSpaceDN w:val="0"/>
        <w:adjustRightInd w:val="0"/>
        <w:snapToGrid w:val="0"/>
        <w:spacing w:after="0"/>
        <w:ind w:left="1835" w:right="200"/>
        <w:rPr>
          <w:rFonts w:ascii="Arial" w:eastAsia="MS Mincho" w:hAnsi="Arial" w:cs="Arial"/>
          <w:lang w:eastAsia="ja-JP"/>
        </w:rPr>
      </w:pPr>
      <w:r w:rsidRPr="00D02ABB">
        <w:rPr>
          <w:rFonts w:ascii="Arial" w:eastAsia="MS Mincho" w:hAnsi="Arial" w:cs="Arial"/>
          <w:lang w:eastAsia="ja-JP"/>
        </w:rPr>
        <w:t>Common radio protocols and network interfaces applicable to both synchronous and asynchronous mode of operations.</w:t>
      </w:r>
    </w:p>
    <w:p w14:paraId="7A26DCC2" w14:textId="50B6A189" w:rsidR="00466B5E" w:rsidRDefault="005D64ED" w:rsidP="00AB727D">
      <w:pPr>
        <w:pStyle w:val="Heading2"/>
        <w:numPr>
          <w:ilvl w:val="0"/>
          <w:numId w:val="0"/>
        </w:numPr>
        <w:rPr>
          <w:rFonts w:ascii="Times New Roman" w:hAnsi="Times New Roman"/>
          <w:sz w:val="22"/>
        </w:rPr>
      </w:pPr>
      <w:r w:rsidRPr="005D64ED">
        <w:rPr>
          <w:rFonts w:ascii="Times New Roman" w:hAnsi="Times New Roman"/>
          <w:b/>
          <w:sz w:val="22"/>
        </w:rPr>
        <w:t>Observation 1:</w:t>
      </w:r>
      <w:r>
        <w:rPr>
          <w:rFonts w:ascii="Times New Roman" w:hAnsi="Times New Roman"/>
          <w:b/>
          <w:sz w:val="22"/>
        </w:rPr>
        <w:t xml:space="preserve"> </w:t>
      </w:r>
      <w:r>
        <w:rPr>
          <w:rFonts w:ascii="Times New Roman" w:hAnsi="Times New Roman"/>
          <w:sz w:val="22"/>
        </w:rPr>
        <w:t>Within Rel-15 scope, NR</w:t>
      </w:r>
      <w:r w:rsidR="00AB727D">
        <w:rPr>
          <w:rFonts w:ascii="Times New Roman" w:hAnsi="Times New Roman"/>
          <w:sz w:val="22"/>
        </w:rPr>
        <w:t>-</w:t>
      </w:r>
      <w:r>
        <w:rPr>
          <w:rFonts w:ascii="Times New Roman" w:hAnsi="Times New Roman"/>
          <w:sz w:val="22"/>
        </w:rPr>
        <w:t>DC is specified between MCG fully in FR1 and SCG fully in FR2, respectively</w:t>
      </w:r>
      <w:r w:rsidR="00466B5E">
        <w:rPr>
          <w:rFonts w:ascii="Times New Roman" w:hAnsi="Times New Roman"/>
          <w:sz w:val="22"/>
        </w:rPr>
        <w:t xml:space="preserve">. Inter-frequency SFTD measurements strictly supporting </w:t>
      </w:r>
      <w:r w:rsidR="002A395A">
        <w:rPr>
          <w:rFonts w:ascii="Times New Roman" w:hAnsi="Times New Roman"/>
          <w:sz w:val="22"/>
        </w:rPr>
        <w:t xml:space="preserve">Rel.15 </w:t>
      </w:r>
      <w:r w:rsidR="00466B5E">
        <w:rPr>
          <w:rFonts w:ascii="Times New Roman" w:hAnsi="Times New Roman"/>
          <w:sz w:val="22"/>
        </w:rPr>
        <w:t>NR-DC scenarios will thus always be between PCell in FR1 and neighbour cell in FR2.</w:t>
      </w:r>
    </w:p>
    <w:p w14:paraId="099F7AE6" w14:textId="6E039557" w:rsidR="00466B5E" w:rsidRDefault="00466B5E" w:rsidP="00466B5E">
      <w:pPr>
        <w:rPr>
          <w:sz w:val="22"/>
          <w:szCs w:val="22"/>
        </w:rPr>
      </w:pPr>
      <w:r w:rsidRPr="00466B5E">
        <w:rPr>
          <w:b/>
          <w:sz w:val="22"/>
          <w:szCs w:val="22"/>
        </w:rPr>
        <w:t>Observation 2:</w:t>
      </w:r>
      <w:r w:rsidRPr="00466B5E">
        <w:rPr>
          <w:sz w:val="22"/>
          <w:szCs w:val="22"/>
        </w:rPr>
        <w:t xml:space="preserve"> </w:t>
      </w:r>
      <w:r>
        <w:rPr>
          <w:sz w:val="22"/>
          <w:szCs w:val="22"/>
        </w:rPr>
        <w:t xml:space="preserve">When PCell and neighbour cell are in different frequency ranges (FR1, FR2), no radio interruptions are needed </w:t>
      </w:r>
      <w:r w:rsidR="00CC799A">
        <w:rPr>
          <w:sz w:val="22"/>
          <w:szCs w:val="22"/>
        </w:rPr>
        <w:t>in FR1 MCG</w:t>
      </w:r>
      <w:r>
        <w:rPr>
          <w:sz w:val="22"/>
          <w:szCs w:val="22"/>
        </w:rPr>
        <w:t xml:space="preserve"> when reconfiguring the radio for reception of the FR2 neighbor cell.</w:t>
      </w:r>
    </w:p>
    <w:p w14:paraId="1A8527AA" w14:textId="333BD035" w:rsidR="002A395A" w:rsidRDefault="00D74BAE" w:rsidP="00466B5E">
      <w:pPr>
        <w:rPr>
          <w:sz w:val="22"/>
          <w:szCs w:val="22"/>
        </w:rPr>
      </w:pPr>
      <w:r>
        <w:rPr>
          <w:sz w:val="22"/>
          <w:szCs w:val="22"/>
        </w:rPr>
        <w:t xml:space="preserve">Based on the limitations on NR-DC provided in the WID, and with the Rel-15 completion </w:t>
      </w:r>
      <w:r w:rsidR="00AD06E1">
        <w:rPr>
          <w:sz w:val="22"/>
          <w:szCs w:val="22"/>
        </w:rPr>
        <w:t xml:space="preserve">date </w:t>
      </w:r>
      <w:r>
        <w:rPr>
          <w:sz w:val="22"/>
          <w:szCs w:val="22"/>
        </w:rPr>
        <w:t xml:space="preserve">in mind, we propose to limit the support of </w:t>
      </w:r>
      <w:r w:rsidR="00AD06E1">
        <w:rPr>
          <w:sz w:val="22"/>
          <w:szCs w:val="22"/>
        </w:rPr>
        <w:t xml:space="preserve">inter-frequency SFTD in Rel-15 to the case when PCell is in FR1 and the neighbor cell is in FR2.  </w:t>
      </w:r>
    </w:p>
    <w:p w14:paraId="04988F5A" w14:textId="6A294E32" w:rsidR="00FD7296" w:rsidRDefault="00D069F6" w:rsidP="00466B5E">
      <w:pPr>
        <w:rPr>
          <w:sz w:val="22"/>
          <w:szCs w:val="22"/>
        </w:rPr>
      </w:pPr>
      <w:r>
        <w:rPr>
          <w:b/>
          <w:sz w:val="22"/>
          <w:szCs w:val="22"/>
        </w:rPr>
        <w:t>Proposal 1:</w:t>
      </w:r>
      <w:r>
        <w:rPr>
          <w:sz w:val="22"/>
          <w:szCs w:val="22"/>
        </w:rPr>
        <w:t xml:space="preserve"> </w:t>
      </w:r>
      <w:r w:rsidR="00AD06E1">
        <w:rPr>
          <w:sz w:val="22"/>
          <w:szCs w:val="22"/>
        </w:rPr>
        <w:t xml:space="preserve">Rel-15 core and performance requirements on inter-frequency SFTD </w:t>
      </w:r>
      <w:r w:rsidR="00CC6737">
        <w:rPr>
          <w:sz w:val="22"/>
          <w:szCs w:val="22"/>
        </w:rPr>
        <w:t xml:space="preserve">measurements </w:t>
      </w:r>
      <w:r w:rsidR="00AD06E1">
        <w:rPr>
          <w:sz w:val="22"/>
          <w:szCs w:val="22"/>
        </w:rPr>
        <w:t xml:space="preserve">are limited to the case </w:t>
      </w:r>
      <w:r w:rsidR="00CC6737">
        <w:rPr>
          <w:sz w:val="22"/>
          <w:szCs w:val="22"/>
        </w:rPr>
        <w:t xml:space="preserve">where </w:t>
      </w:r>
      <w:r w:rsidR="00AD06E1">
        <w:rPr>
          <w:sz w:val="22"/>
          <w:szCs w:val="22"/>
        </w:rPr>
        <w:t xml:space="preserve">PCell </w:t>
      </w:r>
      <w:r w:rsidR="00CC6737">
        <w:rPr>
          <w:sz w:val="22"/>
          <w:szCs w:val="22"/>
        </w:rPr>
        <w:t xml:space="preserve">is </w:t>
      </w:r>
      <w:r w:rsidR="00AD06E1">
        <w:rPr>
          <w:sz w:val="22"/>
          <w:szCs w:val="22"/>
        </w:rPr>
        <w:t xml:space="preserve">in FR1 and neighbor cell </w:t>
      </w:r>
      <w:r w:rsidR="00CC6737">
        <w:rPr>
          <w:sz w:val="22"/>
          <w:szCs w:val="22"/>
        </w:rPr>
        <w:t xml:space="preserve">is </w:t>
      </w:r>
      <w:r w:rsidR="00AD06E1">
        <w:rPr>
          <w:sz w:val="22"/>
          <w:szCs w:val="22"/>
        </w:rPr>
        <w:t>in FR2.</w:t>
      </w:r>
    </w:p>
    <w:p w14:paraId="074B3ED2" w14:textId="77777777" w:rsidR="00D074C6" w:rsidRDefault="00FD7296" w:rsidP="00D074C6">
      <w:pPr>
        <w:rPr>
          <w:sz w:val="22"/>
          <w:szCs w:val="22"/>
        </w:rPr>
      </w:pPr>
      <w:r>
        <w:rPr>
          <w:sz w:val="22"/>
          <w:szCs w:val="22"/>
        </w:rPr>
        <w:t xml:space="preserve">Applicable parts of the core requirements for E-UTRA – NR inter-RAT SFTD in Section </w:t>
      </w:r>
      <w:r w:rsidRPr="00FD7296">
        <w:rPr>
          <w:sz w:val="22"/>
          <w:szCs w:val="22"/>
        </w:rPr>
        <w:t>8.1.2.4.25</w:t>
      </w:r>
      <w:r>
        <w:rPr>
          <w:sz w:val="22"/>
          <w:szCs w:val="22"/>
        </w:rPr>
        <w:t xml:space="preserve"> of TS 36.133 can be reused also for NR inter-frequency SFTD, since e.g. the cell search resource restrictions assumed when specifying aforementioned requirements are the same for NR inter-frequency SFTD. Thus we propose that the core requirements are based on  E-UTRA – NR inter-RAT SFTD time-delay requirements for NR cell in FR2, with and without SS-RSRP reporting:</w:t>
      </w:r>
    </w:p>
    <w:p w14:paraId="133326FC" w14:textId="77777777" w:rsidR="00D074C6" w:rsidRPr="00D074C6" w:rsidRDefault="00FD7296" w:rsidP="00D074C6">
      <w:pPr>
        <w:pStyle w:val="ListParagraph"/>
        <w:numPr>
          <w:ilvl w:val="0"/>
          <w:numId w:val="50"/>
        </w:numPr>
        <w:rPr>
          <w:sz w:val="22"/>
          <w:szCs w:val="22"/>
        </w:rPr>
      </w:pPr>
      <w:r w:rsidRPr="00D074C6">
        <w:rPr>
          <w:sz w:val="22"/>
          <w:szCs w:val="22"/>
        </w:rPr>
        <w:t>For SFTD measurements without additional SS-RSRP reporting: Tmeasure_SFTD = [112] SMTC periods</w:t>
      </w:r>
    </w:p>
    <w:p w14:paraId="51DC2926" w14:textId="004932EC" w:rsidR="00FD7296" w:rsidRPr="00D074C6" w:rsidRDefault="00FD7296" w:rsidP="00D074C6">
      <w:pPr>
        <w:pStyle w:val="ListParagraph"/>
        <w:numPr>
          <w:ilvl w:val="0"/>
          <w:numId w:val="50"/>
        </w:numPr>
        <w:rPr>
          <w:sz w:val="22"/>
          <w:szCs w:val="22"/>
        </w:rPr>
      </w:pPr>
      <w:r w:rsidRPr="00D074C6">
        <w:rPr>
          <w:sz w:val="22"/>
          <w:szCs w:val="22"/>
        </w:rPr>
        <w:t>For SFTD measurements with additional SS-RSRP reporting: Tmeasure_SFTD = [152] SMTC periods</w:t>
      </w:r>
    </w:p>
    <w:p w14:paraId="2FFF21A6" w14:textId="237E9CA4" w:rsidR="00FD7296" w:rsidRDefault="00D074C6" w:rsidP="00466B5E">
      <w:pPr>
        <w:rPr>
          <w:sz w:val="22"/>
          <w:szCs w:val="22"/>
        </w:rPr>
      </w:pPr>
      <w:r>
        <w:rPr>
          <w:b/>
          <w:sz w:val="22"/>
          <w:szCs w:val="22"/>
        </w:rPr>
        <w:t>Proposal 2:</w:t>
      </w:r>
      <w:r>
        <w:rPr>
          <w:sz w:val="22"/>
          <w:szCs w:val="22"/>
        </w:rPr>
        <w:t xml:space="preserve"> Rel-15 NR inter-frequency SFTD measurement delay requirement is reusing the requirements for E-UTRA – NR inter-RAT SFTD measurement delay with NR cell in FR2.</w:t>
      </w:r>
    </w:p>
    <w:p w14:paraId="3A8865A9" w14:textId="475B495A" w:rsidR="00CC6737" w:rsidRDefault="00CC6737" w:rsidP="00466B5E">
      <w:pPr>
        <w:rPr>
          <w:sz w:val="22"/>
          <w:szCs w:val="22"/>
        </w:rPr>
      </w:pPr>
      <w:r>
        <w:rPr>
          <w:sz w:val="22"/>
          <w:szCs w:val="22"/>
        </w:rPr>
        <w:lastRenderedPageBreak/>
        <w:t xml:space="preserve">We further propose that </w:t>
      </w:r>
      <w:r w:rsidR="00FD7296">
        <w:rPr>
          <w:sz w:val="22"/>
          <w:szCs w:val="22"/>
        </w:rPr>
        <w:t xml:space="preserve">side conditions and </w:t>
      </w:r>
      <w:r>
        <w:rPr>
          <w:sz w:val="22"/>
          <w:szCs w:val="22"/>
        </w:rPr>
        <w:t>sensitivity levels assumed for NR PSCell in EN-DC are reused, where NR PCell (FR1) is reusing the EN-DC sensitivity levels for PSCell in FR1, and NR neighbour cell (FR2) is reusing the EN-DC sensitivity levels for PSCell in FR2 (yet to be specified).</w:t>
      </w:r>
    </w:p>
    <w:p w14:paraId="797E5780" w14:textId="3BC0D15F" w:rsidR="00CC6737" w:rsidRDefault="00CC6737" w:rsidP="00466B5E">
      <w:pPr>
        <w:rPr>
          <w:sz w:val="22"/>
          <w:szCs w:val="22"/>
        </w:rPr>
      </w:pPr>
      <w:r>
        <w:rPr>
          <w:b/>
          <w:sz w:val="22"/>
          <w:szCs w:val="22"/>
        </w:rPr>
        <w:t xml:space="preserve">Proposal </w:t>
      </w:r>
      <w:r w:rsidR="00D074C6">
        <w:rPr>
          <w:b/>
          <w:sz w:val="22"/>
          <w:szCs w:val="22"/>
        </w:rPr>
        <w:t>3</w:t>
      </w:r>
      <w:r>
        <w:rPr>
          <w:b/>
          <w:sz w:val="22"/>
          <w:szCs w:val="22"/>
        </w:rPr>
        <w:t>:</w:t>
      </w:r>
      <w:r>
        <w:rPr>
          <w:sz w:val="22"/>
          <w:szCs w:val="22"/>
        </w:rPr>
        <w:t xml:space="preserve"> S</w:t>
      </w:r>
      <w:r w:rsidR="00FD7296">
        <w:rPr>
          <w:sz w:val="22"/>
          <w:szCs w:val="22"/>
        </w:rPr>
        <w:t>ide conditions and s</w:t>
      </w:r>
      <w:r>
        <w:rPr>
          <w:sz w:val="22"/>
          <w:szCs w:val="22"/>
        </w:rPr>
        <w:t xml:space="preserve">ensitivity levels for NR FR1 and FR2 PSCell in EN-DC requirements are adopted for </w:t>
      </w:r>
      <w:r w:rsidR="00FD7296">
        <w:rPr>
          <w:sz w:val="22"/>
          <w:szCs w:val="22"/>
        </w:rPr>
        <w:t>NR PCell in FR1 and neighbor cell in FR2 in inter-frequency SFTD performance requirements.</w:t>
      </w:r>
    </w:p>
    <w:p w14:paraId="27959BA5" w14:textId="2364B197" w:rsidR="00FD7296" w:rsidRDefault="004E5AA6" w:rsidP="00466B5E">
      <w:pPr>
        <w:rPr>
          <w:sz w:val="22"/>
          <w:szCs w:val="22"/>
        </w:rPr>
      </w:pPr>
      <w:r>
        <w:rPr>
          <w:sz w:val="22"/>
          <w:szCs w:val="22"/>
        </w:rPr>
        <w:t>Regarding the measurement accuracy requirement,</w:t>
      </w:r>
      <w:r w:rsidR="00C51E3F">
        <w:rPr>
          <w:sz w:val="22"/>
          <w:szCs w:val="22"/>
        </w:rPr>
        <w:t xml:space="preserve"> and based on the analysis </w:t>
      </w:r>
      <w:r w:rsidR="00C51E3F">
        <w:rPr>
          <w:sz w:val="22"/>
          <w:szCs w:val="22"/>
        </w:rPr>
        <w:fldChar w:fldCharType="begin"/>
      </w:r>
      <w:r w:rsidR="00C51E3F">
        <w:rPr>
          <w:sz w:val="22"/>
          <w:szCs w:val="22"/>
        </w:rPr>
        <w:instrText xml:space="preserve"> REF _Ref1050587 \r \h </w:instrText>
      </w:r>
      <w:r w:rsidR="00C51E3F">
        <w:rPr>
          <w:sz w:val="22"/>
          <w:szCs w:val="22"/>
        </w:rPr>
      </w:r>
      <w:r w:rsidR="00C51E3F">
        <w:rPr>
          <w:sz w:val="22"/>
          <w:szCs w:val="22"/>
        </w:rPr>
        <w:fldChar w:fldCharType="separate"/>
      </w:r>
      <w:r w:rsidR="00C51E3F">
        <w:rPr>
          <w:sz w:val="22"/>
          <w:szCs w:val="22"/>
        </w:rPr>
        <w:t>[3]</w:t>
      </w:r>
      <w:r w:rsidR="00C51E3F">
        <w:rPr>
          <w:sz w:val="22"/>
          <w:szCs w:val="22"/>
        </w:rPr>
        <w:fldChar w:fldCharType="end"/>
      </w:r>
      <w:r w:rsidR="00C51E3F">
        <w:rPr>
          <w:sz w:val="22"/>
          <w:szCs w:val="22"/>
        </w:rPr>
        <w:t xml:space="preserve"> we presented at RAN4#88bis, we propose that the same measurement accuracy as used for EN-DC can be reused for NR inter-frequency SFTD. The justification is that the accuracy is sufficient for configuring measurement gaps, and also, for aligning MCG and SCG DRX configurations for the UE operating in NR-DC mode.</w:t>
      </w:r>
    </w:p>
    <w:p w14:paraId="2E5ABA4D" w14:textId="57EB29CA" w:rsidR="00C51E3F" w:rsidRDefault="00C51E3F" w:rsidP="00466B5E">
      <w:pPr>
        <w:rPr>
          <w:sz w:val="22"/>
          <w:szCs w:val="22"/>
        </w:rPr>
      </w:pPr>
      <w:r>
        <w:rPr>
          <w:b/>
          <w:sz w:val="22"/>
          <w:szCs w:val="22"/>
        </w:rPr>
        <w:t>Proposal 4:</w:t>
      </w:r>
      <w:r>
        <w:rPr>
          <w:sz w:val="22"/>
          <w:szCs w:val="22"/>
        </w:rPr>
        <w:t xml:space="preserve"> The same measurement accuracy as for EN-DC is used for NR inter-frequency SFTD, i.e.,  ±2560 Tc, corresponding to ±Ts.</w:t>
      </w:r>
    </w:p>
    <w:p w14:paraId="73AF15AD" w14:textId="4D785DEC" w:rsidR="00C51E3F" w:rsidRDefault="00B10EBF" w:rsidP="00466B5E">
      <w:pPr>
        <w:rPr>
          <w:sz w:val="22"/>
          <w:szCs w:val="22"/>
        </w:rPr>
      </w:pPr>
      <w:r>
        <w:rPr>
          <w:sz w:val="22"/>
          <w:szCs w:val="22"/>
        </w:rPr>
        <w:t xml:space="preserve">For the specification structure, i.e., where to capture the requirements, we propose </w:t>
      </w:r>
      <w:r w:rsidR="00ED5127">
        <w:rPr>
          <w:sz w:val="22"/>
          <w:szCs w:val="22"/>
        </w:rPr>
        <w:t>inter-frequency SFTD</w:t>
      </w:r>
      <w:r>
        <w:rPr>
          <w:sz w:val="22"/>
          <w:szCs w:val="22"/>
        </w:rPr>
        <w:t xml:space="preserve"> to be captured in the NR inter-frequency </w:t>
      </w:r>
      <w:r w:rsidR="00ED5127">
        <w:rPr>
          <w:sz w:val="22"/>
          <w:szCs w:val="22"/>
        </w:rPr>
        <w:t>measurement sections of TS 38.133. Tentative sections are 9.3.8 for core requirements and 10.1.21 for performance requirements.</w:t>
      </w:r>
    </w:p>
    <w:p w14:paraId="63783338" w14:textId="2F2B9338" w:rsidR="00FD7296" w:rsidRDefault="00ED5127" w:rsidP="00466B5E">
      <w:pPr>
        <w:rPr>
          <w:sz w:val="22"/>
          <w:szCs w:val="22"/>
        </w:rPr>
      </w:pPr>
      <w:r>
        <w:rPr>
          <w:sz w:val="22"/>
          <w:szCs w:val="22"/>
        </w:rPr>
        <w:t xml:space="preserve">Draft CRs capturing core and performance requirements are provided in </w:t>
      </w:r>
      <w:r>
        <w:rPr>
          <w:sz w:val="22"/>
          <w:szCs w:val="22"/>
        </w:rPr>
        <w:fldChar w:fldCharType="begin"/>
      </w:r>
      <w:r>
        <w:rPr>
          <w:sz w:val="22"/>
          <w:szCs w:val="22"/>
        </w:rPr>
        <w:instrText xml:space="preserve"> REF _Ref521506786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and </w:t>
      </w:r>
      <w:r>
        <w:rPr>
          <w:sz w:val="22"/>
          <w:szCs w:val="22"/>
        </w:rPr>
        <w:fldChar w:fldCharType="begin"/>
      </w:r>
      <w:r>
        <w:rPr>
          <w:sz w:val="22"/>
          <w:szCs w:val="22"/>
        </w:rPr>
        <w:instrText xml:space="preserve"> REF _Ref1051323 \r \h </w:instrText>
      </w:r>
      <w:r>
        <w:rPr>
          <w:sz w:val="22"/>
          <w:szCs w:val="22"/>
        </w:rPr>
      </w:r>
      <w:r>
        <w:rPr>
          <w:sz w:val="22"/>
          <w:szCs w:val="22"/>
        </w:rPr>
        <w:fldChar w:fldCharType="separate"/>
      </w:r>
      <w:r>
        <w:rPr>
          <w:sz w:val="22"/>
          <w:szCs w:val="22"/>
        </w:rPr>
        <w:t>[5]</w:t>
      </w:r>
      <w:r>
        <w:rPr>
          <w:sz w:val="22"/>
          <w:szCs w:val="22"/>
        </w:rPr>
        <w:fldChar w:fldCharType="end"/>
      </w:r>
      <w:r>
        <w:rPr>
          <w:sz w:val="22"/>
          <w:szCs w:val="22"/>
        </w:rPr>
        <w:t xml:space="preserve">, respectively. Since specification support in TS 38.331 currently is unclear for SFTD measurements with NR PCell (applicable also for NE-DC), a draft LS to RAN2 is provided in </w:t>
      </w:r>
      <w:r>
        <w:rPr>
          <w:sz w:val="22"/>
          <w:szCs w:val="22"/>
        </w:rPr>
        <w:fldChar w:fldCharType="begin"/>
      </w:r>
      <w:r>
        <w:rPr>
          <w:sz w:val="22"/>
          <w:szCs w:val="22"/>
        </w:rPr>
        <w:instrText xml:space="preserve"> REF _Ref1051516 \r \h </w:instrText>
      </w:r>
      <w:r>
        <w:rPr>
          <w:sz w:val="22"/>
          <w:szCs w:val="22"/>
        </w:rPr>
      </w:r>
      <w:r>
        <w:rPr>
          <w:sz w:val="22"/>
          <w:szCs w:val="22"/>
        </w:rPr>
        <w:fldChar w:fldCharType="separate"/>
      </w:r>
      <w:r>
        <w:rPr>
          <w:sz w:val="22"/>
          <w:szCs w:val="22"/>
        </w:rPr>
        <w:t>[6]</w:t>
      </w:r>
      <w:r>
        <w:rPr>
          <w:sz w:val="22"/>
          <w:szCs w:val="22"/>
        </w:rPr>
        <w:fldChar w:fldCharType="end"/>
      </w:r>
      <w:r>
        <w:rPr>
          <w:sz w:val="22"/>
          <w:szCs w:val="22"/>
        </w:rPr>
        <w:t>.</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DDB4490" w14:textId="7BF0DB02" w:rsidR="006516FD" w:rsidRDefault="001842EE" w:rsidP="006516FD">
      <w:pPr>
        <w:rPr>
          <w:sz w:val="22"/>
          <w:szCs w:val="22"/>
          <w:lang w:val="en-CA"/>
        </w:rPr>
      </w:pPr>
      <w:r>
        <w:rPr>
          <w:sz w:val="22"/>
          <w:szCs w:val="22"/>
          <w:lang w:val="en-CA"/>
        </w:rPr>
        <w:t xml:space="preserve">The following </w:t>
      </w:r>
      <w:r w:rsidR="00335C02">
        <w:rPr>
          <w:sz w:val="22"/>
          <w:szCs w:val="22"/>
          <w:lang w:val="en-CA"/>
        </w:rPr>
        <w:t>observations are made:</w:t>
      </w:r>
    </w:p>
    <w:p w14:paraId="618F0633" w14:textId="77777777" w:rsidR="00335C02" w:rsidRDefault="00335C02" w:rsidP="00335C02">
      <w:pPr>
        <w:pStyle w:val="Heading2"/>
        <w:numPr>
          <w:ilvl w:val="0"/>
          <w:numId w:val="0"/>
        </w:numPr>
        <w:rPr>
          <w:rFonts w:ascii="Times New Roman" w:hAnsi="Times New Roman"/>
          <w:sz w:val="22"/>
        </w:rPr>
      </w:pPr>
      <w:r w:rsidRPr="005D64ED">
        <w:rPr>
          <w:rFonts w:ascii="Times New Roman" w:hAnsi="Times New Roman"/>
          <w:b/>
          <w:sz w:val="22"/>
        </w:rPr>
        <w:t>Observation 1:</w:t>
      </w:r>
      <w:r>
        <w:rPr>
          <w:rFonts w:ascii="Times New Roman" w:hAnsi="Times New Roman"/>
          <w:b/>
          <w:sz w:val="22"/>
        </w:rPr>
        <w:t xml:space="preserve"> </w:t>
      </w:r>
      <w:r>
        <w:rPr>
          <w:rFonts w:ascii="Times New Roman" w:hAnsi="Times New Roman"/>
          <w:sz w:val="22"/>
        </w:rPr>
        <w:t>Within Rel-15 scope, NR-DC is specified between MCG fully in FR1 and SCG fully in FR2, respectively. Inter-frequency SFTD measurements strictly supporting Rel.15 NR-DC scenarios will thus always be between PCell in FR1 and neighbour cell in FR2.</w:t>
      </w:r>
    </w:p>
    <w:p w14:paraId="46EDB2F6" w14:textId="77777777" w:rsidR="00335C02" w:rsidRDefault="00335C02" w:rsidP="00335C02">
      <w:pPr>
        <w:rPr>
          <w:sz w:val="22"/>
          <w:szCs w:val="22"/>
        </w:rPr>
      </w:pPr>
      <w:r w:rsidRPr="00466B5E">
        <w:rPr>
          <w:b/>
          <w:sz w:val="22"/>
          <w:szCs w:val="22"/>
        </w:rPr>
        <w:t>Observation 2:</w:t>
      </w:r>
      <w:r w:rsidRPr="00466B5E">
        <w:rPr>
          <w:sz w:val="22"/>
          <w:szCs w:val="22"/>
        </w:rPr>
        <w:t xml:space="preserve"> </w:t>
      </w:r>
      <w:r>
        <w:rPr>
          <w:sz w:val="22"/>
          <w:szCs w:val="22"/>
        </w:rPr>
        <w:t>When PCell and neighbour cell are in different frequency ranges (FR1, FR2), no radio interruptions are needed in FR1 MCG when reconfiguring the radio for reception of the FR2 neighbor cell.</w:t>
      </w:r>
    </w:p>
    <w:p w14:paraId="620EC60C" w14:textId="765920FA" w:rsidR="00335C02" w:rsidRPr="00335C02" w:rsidRDefault="00C51E3F" w:rsidP="006516FD">
      <w:pPr>
        <w:rPr>
          <w:sz w:val="22"/>
          <w:szCs w:val="22"/>
        </w:rPr>
      </w:pPr>
      <w:r>
        <w:rPr>
          <w:sz w:val="22"/>
          <w:szCs w:val="22"/>
        </w:rPr>
        <w:t>T</w:t>
      </w:r>
      <w:r w:rsidR="00335C02">
        <w:rPr>
          <w:sz w:val="22"/>
          <w:szCs w:val="22"/>
        </w:rPr>
        <w:t>he following proposals</w:t>
      </w:r>
      <w:r>
        <w:rPr>
          <w:sz w:val="22"/>
          <w:szCs w:val="22"/>
        </w:rPr>
        <w:t xml:space="preserve"> are made</w:t>
      </w:r>
      <w:r w:rsidR="00335C02">
        <w:rPr>
          <w:sz w:val="22"/>
          <w:szCs w:val="22"/>
        </w:rPr>
        <w:t>:</w:t>
      </w:r>
    </w:p>
    <w:p w14:paraId="575E6A19" w14:textId="77777777" w:rsidR="00335C02" w:rsidRDefault="00335C02" w:rsidP="00335C02">
      <w:pPr>
        <w:rPr>
          <w:sz w:val="22"/>
          <w:szCs w:val="22"/>
        </w:rPr>
      </w:pPr>
      <w:r>
        <w:rPr>
          <w:b/>
          <w:sz w:val="22"/>
          <w:szCs w:val="22"/>
        </w:rPr>
        <w:t>Proposal 1:</w:t>
      </w:r>
      <w:r>
        <w:rPr>
          <w:sz w:val="22"/>
          <w:szCs w:val="22"/>
        </w:rPr>
        <w:t xml:space="preserve"> Rel-15 core and performance requirements on inter-frequency SFTD measurements are limited to the case where PCell is in FR1 and neighbor cell is in FR2.</w:t>
      </w:r>
    </w:p>
    <w:p w14:paraId="4D833ADE" w14:textId="77777777" w:rsidR="00335C02" w:rsidRDefault="00335C02" w:rsidP="00335C02">
      <w:pPr>
        <w:rPr>
          <w:sz w:val="22"/>
          <w:szCs w:val="22"/>
        </w:rPr>
      </w:pPr>
      <w:r>
        <w:rPr>
          <w:b/>
          <w:sz w:val="22"/>
          <w:szCs w:val="22"/>
        </w:rPr>
        <w:t>Proposal 2:</w:t>
      </w:r>
      <w:r>
        <w:rPr>
          <w:sz w:val="22"/>
          <w:szCs w:val="22"/>
        </w:rPr>
        <w:t xml:space="preserve"> Rel-15 NR inter-frequency SFTD measurement delay requirement is reusing the requirements for E-UTRA – NR inter-RAT SFTD measurement delay with NR cell in FR2.</w:t>
      </w:r>
    </w:p>
    <w:p w14:paraId="570C7EA2" w14:textId="77777777" w:rsidR="00335C02" w:rsidRDefault="00335C02" w:rsidP="00335C02">
      <w:pPr>
        <w:rPr>
          <w:sz w:val="22"/>
          <w:szCs w:val="22"/>
        </w:rPr>
      </w:pPr>
      <w:r>
        <w:rPr>
          <w:b/>
          <w:sz w:val="22"/>
          <w:szCs w:val="22"/>
        </w:rPr>
        <w:t>Proposal 3:</w:t>
      </w:r>
      <w:r>
        <w:rPr>
          <w:sz w:val="22"/>
          <w:szCs w:val="22"/>
        </w:rPr>
        <w:t xml:space="preserve"> Side conditions and sensitivity levels for NR FR1 and FR2 PSCell in EN-DC requirements are adopted for NR PCell in FR1 and neighbor cell in FR2 in inter-frequency SFTD performance requirements.</w:t>
      </w:r>
    </w:p>
    <w:p w14:paraId="7B57B7D3" w14:textId="77777777" w:rsidR="00C51E3F" w:rsidRDefault="00C51E3F" w:rsidP="00C51E3F">
      <w:pPr>
        <w:rPr>
          <w:sz w:val="22"/>
          <w:szCs w:val="22"/>
        </w:rPr>
      </w:pPr>
      <w:r>
        <w:rPr>
          <w:b/>
          <w:sz w:val="22"/>
          <w:szCs w:val="22"/>
        </w:rPr>
        <w:t>Proposal 4:</w:t>
      </w:r>
      <w:r>
        <w:rPr>
          <w:sz w:val="22"/>
          <w:szCs w:val="22"/>
        </w:rPr>
        <w:t xml:space="preserve"> The same measurement accuracy as for EN-DC is used for NR inter-frequency SFTD, i.e.,  ±2560 Tc, corresponding to ±Ts.</w:t>
      </w:r>
    </w:p>
    <w:p w14:paraId="4E937C4D" w14:textId="6EF659BF" w:rsidR="001842EE" w:rsidRPr="00335C02" w:rsidRDefault="00ED5127" w:rsidP="006516FD">
      <w:pPr>
        <w:rPr>
          <w:sz w:val="22"/>
          <w:szCs w:val="22"/>
        </w:rPr>
      </w:pPr>
      <w:r>
        <w:rPr>
          <w:sz w:val="22"/>
          <w:szCs w:val="22"/>
        </w:rPr>
        <w:t xml:space="preserve">Draft CRs capturing core and performance requirements are provided in </w:t>
      </w:r>
      <w:r>
        <w:rPr>
          <w:sz w:val="22"/>
          <w:szCs w:val="22"/>
        </w:rPr>
        <w:fldChar w:fldCharType="begin"/>
      </w:r>
      <w:r>
        <w:rPr>
          <w:sz w:val="22"/>
          <w:szCs w:val="22"/>
        </w:rPr>
        <w:instrText xml:space="preserve"> REF _Ref521506786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and </w:t>
      </w:r>
      <w:r>
        <w:rPr>
          <w:sz w:val="22"/>
          <w:szCs w:val="22"/>
        </w:rPr>
        <w:fldChar w:fldCharType="begin"/>
      </w:r>
      <w:r>
        <w:rPr>
          <w:sz w:val="22"/>
          <w:szCs w:val="22"/>
        </w:rPr>
        <w:instrText xml:space="preserve"> REF _Ref1051323 \r \h </w:instrText>
      </w:r>
      <w:r>
        <w:rPr>
          <w:sz w:val="22"/>
          <w:szCs w:val="22"/>
        </w:rPr>
      </w:r>
      <w:r>
        <w:rPr>
          <w:sz w:val="22"/>
          <w:szCs w:val="22"/>
        </w:rPr>
        <w:fldChar w:fldCharType="separate"/>
      </w:r>
      <w:r>
        <w:rPr>
          <w:sz w:val="22"/>
          <w:szCs w:val="22"/>
        </w:rPr>
        <w:t>[5]</w:t>
      </w:r>
      <w:r>
        <w:rPr>
          <w:sz w:val="22"/>
          <w:szCs w:val="22"/>
        </w:rPr>
        <w:fldChar w:fldCharType="end"/>
      </w:r>
      <w:r>
        <w:rPr>
          <w:sz w:val="22"/>
          <w:szCs w:val="22"/>
        </w:rPr>
        <w:t xml:space="preserve">, respectively. A draft LS to RAN2 regarding specification support in TS 38.331 is provided in </w:t>
      </w:r>
      <w:r>
        <w:rPr>
          <w:sz w:val="22"/>
          <w:szCs w:val="22"/>
        </w:rPr>
        <w:fldChar w:fldCharType="begin"/>
      </w:r>
      <w:r>
        <w:rPr>
          <w:sz w:val="22"/>
          <w:szCs w:val="22"/>
        </w:rPr>
        <w:instrText xml:space="preserve"> REF _Ref1051516 \r \h </w:instrText>
      </w:r>
      <w:r>
        <w:rPr>
          <w:sz w:val="22"/>
          <w:szCs w:val="22"/>
        </w:rPr>
      </w:r>
      <w:r>
        <w:rPr>
          <w:sz w:val="22"/>
          <w:szCs w:val="22"/>
        </w:rPr>
        <w:fldChar w:fldCharType="separate"/>
      </w:r>
      <w:r>
        <w:rPr>
          <w:sz w:val="22"/>
          <w:szCs w:val="22"/>
        </w:rPr>
        <w:t>[6]</w:t>
      </w:r>
      <w:r>
        <w:rPr>
          <w:sz w:val="22"/>
          <w:szCs w:val="22"/>
        </w:rPr>
        <w:fldChar w:fldCharType="end"/>
      </w:r>
      <w:r>
        <w:rPr>
          <w:sz w:val="22"/>
          <w:szCs w:val="22"/>
        </w:rPr>
        <w:t>.</w:t>
      </w:r>
    </w:p>
    <w:p w14:paraId="7765CE1A" w14:textId="0F238118"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3CC4B7BC" w14:textId="105FFB49" w:rsidR="00013932" w:rsidRDefault="00013932" w:rsidP="00013932">
      <w:pPr>
        <w:numPr>
          <w:ilvl w:val="0"/>
          <w:numId w:val="9"/>
        </w:numPr>
        <w:tabs>
          <w:tab w:val="left" w:pos="851"/>
        </w:tabs>
        <w:rPr>
          <w:rFonts w:ascii="Arial" w:hAnsi="Arial" w:cs="Arial"/>
          <w:sz w:val="22"/>
          <w:szCs w:val="22"/>
          <w:lang w:val="en-CA"/>
        </w:rPr>
      </w:pPr>
      <w:bookmarkStart w:id="3" w:name="_Ref520450423"/>
      <w:bookmarkStart w:id="4" w:name="_Ref523940086"/>
      <w:bookmarkStart w:id="5" w:name="_Ref517094573"/>
      <w:r w:rsidRPr="00013932">
        <w:rPr>
          <w:rFonts w:ascii="Arial" w:hAnsi="Arial" w:cs="Arial"/>
          <w:sz w:val="22"/>
          <w:szCs w:val="22"/>
          <w:lang w:val="en-CA"/>
        </w:rPr>
        <w:t>R</w:t>
      </w:r>
      <w:r w:rsidR="00B93A9F">
        <w:rPr>
          <w:rFonts w:ascii="Arial" w:hAnsi="Arial" w:cs="Arial"/>
          <w:sz w:val="22"/>
          <w:szCs w:val="22"/>
          <w:lang w:val="en-CA"/>
        </w:rPr>
        <w:t>4-1811400</w:t>
      </w:r>
      <w:r w:rsidRPr="00013932">
        <w:rPr>
          <w:rFonts w:ascii="Arial" w:hAnsi="Arial" w:cs="Arial"/>
          <w:sz w:val="22"/>
          <w:szCs w:val="22"/>
          <w:lang w:val="en-CA"/>
        </w:rPr>
        <w:t xml:space="preserve"> “</w:t>
      </w:r>
      <w:r w:rsidR="00B93A9F">
        <w:rPr>
          <w:rFonts w:ascii="Arial" w:hAnsi="Arial" w:cs="Arial"/>
          <w:sz w:val="22"/>
          <w:szCs w:val="22"/>
          <w:lang w:val="en-CA"/>
        </w:rPr>
        <w:t>WF on SFTD measurement requirements</w:t>
      </w:r>
      <w:r w:rsidRPr="00013932">
        <w:rPr>
          <w:rFonts w:ascii="Arial" w:hAnsi="Arial" w:cs="Arial"/>
          <w:sz w:val="22"/>
          <w:szCs w:val="22"/>
          <w:lang w:val="en-CA"/>
        </w:rPr>
        <w:t xml:space="preserve">”, </w:t>
      </w:r>
      <w:bookmarkEnd w:id="3"/>
      <w:r w:rsidR="00B93A9F">
        <w:rPr>
          <w:rFonts w:ascii="Arial" w:hAnsi="Arial" w:cs="Arial"/>
          <w:sz w:val="22"/>
          <w:szCs w:val="22"/>
          <w:lang w:val="en-CA"/>
        </w:rPr>
        <w:t>Ericsson, MediaTek, Intel, Huawei, HiSilicon, ZTE, Nokia, Nokia-Shanghai Bell</w:t>
      </w:r>
      <w:bookmarkEnd w:id="4"/>
    </w:p>
    <w:p w14:paraId="4D37DBB0" w14:textId="1562F155" w:rsidR="005D64ED" w:rsidRDefault="005D64ED" w:rsidP="00013932">
      <w:pPr>
        <w:numPr>
          <w:ilvl w:val="0"/>
          <w:numId w:val="9"/>
        </w:numPr>
        <w:tabs>
          <w:tab w:val="left" w:pos="851"/>
        </w:tabs>
        <w:rPr>
          <w:rFonts w:ascii="Arial" w:hAnsi="Arial" w:cs="Arial"/>
          <w:sz w:val="22"/>
          <w:szCs w:val="22"/>
          <w:lang w:val="en-CA"/>
        </w:rPr>
      </w:pPr>
      <w:bookmarkStart w:id="6" w:name="_Ref536799234"/>
      <w:r>
        <w:rPr>
          <w:rFonts w:ascii="Arial" w:hAnsi="Arial" w:cs="Arial"/>
          <w:sz w:val="22"/>
          <w:szCs w:val="22"/>
          <w:lang w:val="en-CA"/>
        </w:rPr>
        <w:t>RP-181473 “</w:t>
      </w:r>
      <w:r w:rsidRPr="004E5AA6">
        <w:rPr>
          <w:rFonts w:ascii="Arial" w:hAnsi="Arial" w:cs="Arial"/>
          <w:sz w:val="22"/>
          <w:szCs w:val="22"/>
          <w:lang w:val="en-CA"/>
        </w:rPr>
        <w:t>Rel-15 Work Item Exception for New Radio Access Technology - Core</w:t>
      </w:r>
      <w:r>
        <w:rPr>
          <w:rFonts w:ascii="Arial" w:hAnsi="Arial" w:cs="Arial"/>
          <w:sz w:val="22"/>
          <w:szCs w:val="22"/>
          <w:lang w:val="en-CA"/>
        </w:rPr>
        <w:t>”, NTT Docomo, Inc.</w:t>
      </w:r>
      <w:bookmarkEnd w:id="6"/>
    </w:p>
    <w:p w14:paraId="0FD1139D" w14:textId="05FAA931" w:rsidR="00335C02" w:rsidRDefault="00C51E3F" w:rsidP="00013932">
      <w:pPr>
        <w:numPr>
          <w:ilvl w:val="0"/>
          <w:numId w:val="9"/>
        </w:numPr>
        <w:tabs>
          <w:tab w:val="left" w:pos="851"/>
        </w:tabs>
        <w:rPr>
          <w:rFonts w:ascii="Arial" w:hAnsi="Arial" w:cs="Arial"/>
          <w:sz w:val="22"/>
          <w:szCs w:val="22"/>
          <w:lang w:val="en-CA"/>
        </w:rPr>
      </w:pPr>
      <w:bookmarkStart w:id="7" w:name="_Ref1050587"/>
      <w:r>
        <w:rPr>
          <w:rFonts w:ascii="Arial" w:hAnsi="Arial" w:cs="Arial"/>
          <w:sz w:val="22"/>
          <w:szCs w:val="22"/>
          <w:lang w:val="en-CA"/>
        </w:rPr>
        <w:lastRenderedPageBreak/>
        <w:t>R4-1813424</w:t>
      </w:r>
      <w:r w:rsidR="00685ECC">
        <w:rPr>
          <w:rFonts w:ascii="Arial" w:hAnsi="Arial" w:cs="Arial"/>
          <w:sz w:val="22"/>
          <w:szCs w:val="22"/>
          <w:lang w:val="en-CA"/>
        </w:rPr>
        <w:t xml:space="preserve"> </w:t>
      </w:r>
      <w:r>
        <w:rPr>
          <w:rFonts w:ascii="Arial" w:hAnsi="Arial" w:cs="Arial"/>
          <w:sz w:val="22"/>
          <w:szCs w:val="22"/>
          <w:lang w:val="en-CA"/>
        </w:rPr>
        <w:t>“</w:t>
      </w:r>
      <w:r w:rsidRPr="00C51E3F">
        <w:rPr>
          <w:rFonts w:ascii="Arial" w:hAnsi="Arial" w:cs="Arial"/>
          <w:sz w:val="22"/>
          <w:szCs w:val="22"/>
          <w:lang w:val="en-CA"/>
        </w:rPr>
        <w:t>On performance requirement for inter-RAT and EN-DC SFTD in FR2</w:t>
      </w:r>
      <w:r>
        <w:rPr>
          <w:rFonts w:ascii="Arial" w:hAnsi="Arial" w:cs="Arial"/>
          <w:sz w:val="22"/>
          <w:szCs w:val="22"/>
          <w:lang w:val="en-CA"/>
        </w:rPr>
        <w:t>”, Ericsson</w:t>
      </w:r>
      <w:bookmarkEnd w:id="7"/>
    </w:p>
    <w:p w14:paraId="1A41DB4B" w14:textId="5CA38E5C" w:rsidR="00173E52" w:rsidRDefault="00347CC4" w:rsidP="00DF79AF">
      <w:pPr>
        <w:numPr>
          <w:ilvl w:val="0"/>
          <w:numId w:val="9"/>
        </w:numPr>
        <w:tabs>
          <w:tab w:val="left" w:pos="851"/>
        </w:tabs>
        <w:rPr>
          <w:rFonts w:ascii="Arial" w:hAnsi="Arial" w:cs="Arial"/>
          <w:sz w:val="22"/>
          <w:szCs w:val="22"/>
          <w:lang w:val="en-CA"/>
        </w:rPr>
      </w:pPr>
      <w:bookmarkStart w:id="8" w:name="_Ref521506786"/>
      <w:bookmarkEnd w:id="5"/>
      <w:r>
        <w:rPr>
          <w:rFonts w:ascii="Arial" w:hAnsi="Arial" w:cs="Arial"/>
          <w:sz w:val="22"/>
          <w:szCs w:val="22"/>
          <w:lang w:val="en-CA"/>
        </w:rPr>
        <w:t>R4-190</w:t>
      </w:r>
      <w:r w:rsidR="001F5286">
        <w:rPr>
          <w:rFonts w:ascii="Arial" w:hAnsi="Arial" w:cs="Arial"/>
          <w:sz w:val="22"/>
          <w:szCs w:val="22"/>
          <w:lang w:val="en-CA"/>
        </w:rPr>
        <w:t>1523</w:t>
      </w:r>
      <w:r w:rsidR="00173E52">
        <w:rPr>
          <w:rFonts w:ascii="Arial" w:hAnsi="Arial" w:cs="Arial"/>
          <w:sz w:val="22"/>
          <w:szCs w:val="22"/>
          <w:lang w:val="en-CA"/>
        </w:rPr>
        <w:t xml:space="preserve"> </w:t>
      </w:r>
      <w:r w:rsidR="004E5AA6">
        <w:rPr>
          <w:rFonts w:ascii="Arial" w:hAnsi="Arial" w:cs="Arial"/>
          <w:sz w:val="22"/>
          <w:szCs w:val="22"/>
          <w:lang w:val="en-CA"/>
        </w:rPr>
        <w:t>“</w:t>
      </w:r>
      <w:r w:rsidR="004E5AA6" w:rsidRPr="004E5AA6">
        <w:rPr>
          <w:rFonts w:ascii="Arial" w:hAnsi="Arial" w:cs="Arial"/>
          <w:sz w:val="22"/>
          <w:szCs w:val="22"/>
          <w:lang w:val="en-CA"/>
        </w:rPr>
        <w:t>CR 38.133 9.3.8 Introduction of inter-frequency SFTD core requirements</w:t>
      </w:r>
      <w:r w:rsidR="00173E52">
        <w:rPr>
          <w:rFonts w:ascii="Arial" w:hAnsi="Arial" w:cs="Arial"/>
          <w:sz w:val="22"/>
          <w:szCs w:val="22"/>
          <w:lang w:val="en-CA"/>
        </w:rPr>
        <w:t>”, Ericsson</w:t>
      </w:r>
      <w:bookmarkEnd w:id="8"/>
    </w:p>
    <w:p w14:paraId="3D877647" w14:textId="306FD6AD" w:rsidR="004E5AA6" w:rsidRDefault="004E5AA6" w:rsidP="00DF79AF">
      <w:pPr>
        <w:numPr>
          <w:ilvl w:val="0"/>
          <w:numId w:val="9"/>
        </w:numPr>
        <w:tabs>
          <w:tab w:val="left" w:pos="851"/>
        </w:tabs>
        <w:rPr>
          <w:rFonts w:ascii="Arial" w:hAnsi="Arial" w:cs="Arial"/>
          <w:sz w:val="22"/>
          <w:szCs w:val="22"/>
          <w:lang w:val="en-CA"/>
        </w:rPr>
      </w:pPr>
      <w:bookmarkStart w:id="9" w:name="_Ref1051323"/>
      <w:r>
        <w:rPr>
          <w:rFonts w:ascii="Arial" w:hAnsi="Arial" w:cs="Arial"/>
          <w:sz w:val="22"/>
          <w:szCs w:val="22"/>
          <w:lang w:val="en-CA"/>
        </w:rPr>
        <w:t>R4-190</w:t>
      </w:r>
      <w:r w:rsidR="001F5286">
        <w:rPr>
          <w:rFonts w:ascii="Arial" w:hAnsi="Arial" w:cs="Arial"/>
          <w:sz w:val="22"/>
          <w:szCs w:val="22"/>
          <w:lang w:val="en-CA"/>
        </w:rPr>
        <w:t>1524</w:t>
      </w:r>
      <w:r>
        <w:rPr>
          <w:rFonts w:ascii="Arial" w:hAnsi="Arial" w:cs="Arial"/>
          <w:sz w:val="22"/>
          <w:szCs w:val="22"/>
          <w:lang w:val="en-CA"/>
        </w:rPr>
        <w:t xml:space="preserve"> “</w:t>
      </w:r>
      <w:r w:rsidRPr="004E5AA6">
        <w:rPr>
          <w:rFonts w:ascii="Arial" w:hAnsi="Arial" w:cs="Arial"/>
          <w:sz w:val="22"/>
          <w:szCs w:val="22"/>
          <w:lang w:val="en-CA"/>
        </w:rPr>
        <w:t>CR 38.133 10.1.21 Introduction of inter-frequency SFTD performance requirements</w:t>
      </w:r>
      <w:r>
        <w:rPr>
          <w:rFonts w:ascii="Arial" w:hAnsi="Arial" w:cs="Arial"/>
          <w:sz w:val="22"/>
          <w:szCs w:val="22"/>
          <w:lang w:val="en-CA"/>
        </w:rPr>
        <w:t>”, Ericsson</w:t>
      </w:r>
      <w:bookmarkEnd w:id="9"/>
    </w:p>
    <w:p w14:paraId="40750521" w14:textId="1896C4C0" w:rsidR="004E5AA6" w:rsidRDefault="004E5AA6" w:rsidP="00DF79AF">
      <w:pPr>
        <w:numPr>
          <w:ilvl w:val="0"/>
          <w:numId w:val="9"/>
        </w:numPr>
        <w:tabs>
          <w:tab w:val="left" w:pos="851"/>
        </w:tabs>
        <w:rPr>
          <w:rFonts w:ascii="Arial" w:hAnsi="Arial" w:cs="Arial"/>
          <w:sz w:val="22"/>
          <w:szCs w:val="22"/>
          <w:lang w:val="en-CA"/>
        </w:rPr>
      </w:pPr>
      <w:bookmarkStart w:id="10" w:name="_Ref1051516"/>
      <w:r>
        <w:rPr>
          <w:rFonts w:ascii="Arial" w:hAnsi="Arial" w:cs="Arial"/>
          <w:sz w:val="22"/>
          <w:szCs w:val="22"/>
          <w:lang w:val="en-CA"/>
        </w:rPr>
        <w:t>R4-190</w:t>
      </w:r>
      <w:r w:rsidR="001F5286">
        <w:rPr>
          <w:rFonts w:ascii="Arial" w:hAnsi="Arial" w:cs="Arial"/>
          <w:sz w:val="22"/>
          <w:szCs w:val="22"/>
          <w:lang w:val="en-CA"/>
        </w:rPr>
        <w:t>1526</w:t>
      </w:r>
      <w:r>
        <w:rPr>
          <w:rFonts w:ascii="Arial" w:hAnsi="Arial" w:cs="Arial"/>
          <w:sz w:val="22"/>
          <w:szCs w:val="22"/>
          <w:lang w:val="en-CA"/>
        </w:rPr>
        <w:t xml:space="preserve"> ”</w:t>
      </w:r>
      <w:r w:rsidRPr="004E5AA6">
        <w:rPr>
          <w:rFonts w:ascii="Arial" w:hAnsi="Arial" w:cs="Arial"/>
          <w:sz w:val="22"/>
          <w:szCs w:val="22"/>
          <w:lang w:val="en-CA"/>
        </w:rPr>
        <w:t>LS to RAN2 Specification</w:t>
      </w:r>
      <w:bookmarkStart w:id="11" w:name="_GoBack"/>
      <w:bookmarkEnd w:id="11"/>
      <w:r w:rsidRPr="004E5AA6">
        <w:rPr>
          <w:rFonts w:ascii="Arial" w:hAnsi="Arial" w:cs="Arial"/>
          <w:sz w:val="22"/>
          <w:szCs w:val="22"/>
          <w:lang w:val="en-CA"/>
        </w:rPr>
        <w:t xml:space="preserve"> support for SFTD with NR PCell</w:t>
      </w:r>
      <w:r>
        <w:rPr>
          <w:rFonts w:ascii="Arial" w:hAnsi="Arial" w:cs="Arial"/>
          <w:sz w:val="22"/>
          <w:szCs w:val="22"/>
          <w:lang w:val="en-CA"/>
        </w:rPr>
        <w:t>”, Ericsson</w:t>
      </w:r>
      <w:bookmarkEnd w:id="10"/>
    </w:p>
    <w:sectPr w:rsidR="004E5AA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B5CF8" w14:textId="77777777" w:rsidR="006536E7" w:rsidRDefault="006536E7">
      <w:r>
        <w:separator/>
      </w:r>
    </w:p>
  </w:endnote>
  <w:endnote w:type="continuationSeparator" w:id="0">
    <w:p w14:paraId="7077C4CF" w14:textId="77777777" w:rsidR="006536E7" w:rsidRDefault="0065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7B721" w14:textId="77777777" w:rsidR="006536E7" w:rsidRDefault="006536E7">
      <w:r>
        <w:separator/>
      </w:r>
    </w:p>
  </w:footnote>
  <w:footnote w:type="continuationSeparator" w:id="0">
    <w:p w14:paraId="5CFF6A83" w14:textId="77777777" w:rsidR="006536E7" w:rsidRDefault="0065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14563"/>
    <w:multiLevelType w:val="hybridMultilevel"/>
    <w:tmpl w:val="3D4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7E318C8"/>
    <w:multiLevelType w:val="hybridMultilevel"/>
    <w:tmpl w:val="EAE4DE76"/>
    <w:lvl w:ilvl="0" w:tplc="892E48E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15E59"/>
    <w:multiLevelType w:val="hybridMultilevel"/>
    <w:tmpl w:val="7DA4A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D2C89"/>
    <w:multiLevelType w:val="hybridMultilevel"/>
    <w:tmpl w:val="7A5A53DA"/>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5793C14"/>
    <w:multiLevelType w:val="hybridMultilevel"/>
    <w:tmpl w:val="3886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569ED"/>
    <w:multiLevelType w:val="hybridMultilevel"/>
    <w:tmpl w:val="E16EE9E2"/>
    <w:lvl w:ilvl="0" w:tplc="892E48E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C6A28CA"/>
    <w:multiLevelType w:val="hybridMultilevel"/>
    <w:tmpl w:val="50C4C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634669"/>
    <w:multiLevelType w:val="hybridMultilevel"/>
    <w:tmpl w:val="C76C2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25"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8418F8"/>
    <w:multiLevelType w:val="hybridMultilevel"/>
    <w:tmpl w:val="325E92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8" w15:restartNumberingAfterBreak="0">
    <w:nsid w:val="41E93832"/>
    <w:multiLevelType w:val="hybridMultilevel"/>
    <w:tmpl w:val="2F425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8EE27FB"/>
    <w:multiLevelType w:val="hybridMultilevel"/>
    <w:tmpl w:val="FAB6E46E"/>
    <w:lvl w:ilvl="0" w:tplc="35649C6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48072FD"/>
    <w:multiLevelType w:val="hybridMultilevel"/>
    <w:tmpl w:val="63FC2438"/>
    <w:lvl w:ilvl="0" w:tplc="77F4470E">
      <w:start w:val="9"/>
      <w:numFmt w:val="bullet"/>
      <w:lvlText w:val="-"/>
      <w:lvlJc w:val="left"/>
      <w:pPr>
        <w:ind w:left="1215" w:hanging="360"/>
      </w:pPr>
      <w:rPr>
        <w:rFonts w:ascii="Arial" w:eastAsia="Malgun Gothic" w:hAnsi="Arial" w:cs="Aria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8"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2"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ECE4E16"/>
    <w:multiLevelType w:val="hybridMultilevel"/>
    <w:tmpl w:val="EA5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6"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47"/>
  </w:num>
  <w:num w:numId="3">
    <w:abstractNumId w:val="45"/>
  </w:num>
  <w:num w:numId="4">
    <w:abstractNumId w:val="27"/>
  </w:num>
  <w:num w:numId="5">
    <w:abstractNumId w:val="29"/>
  </w:num>
  <w:num w:numId="6">
    <w:abstractNumId w:val="1"/>
  </w:num>
  <w:num w:numId="7">
    <w:abstractNumId w:val="0"/>
  </w:num>
  <w:num w:numId="8">
    <w:abstractNumId w:val="49"/>
  </w:num>
  <w:num w:numId="9">
    <w:abstractNumId w:val="40"/>
  </w:num>
  <w:num w:numId="10">
    <w:abstractNumId w:val="35"/>
  </w:num>
  <w:num w:numId="11">
    <w:abstractNumId w:val="25"/>
  </w:num>
  <w:num w:numId="12">
    <w:abstractNumId w:val="19"/>
  </w:num>
  <w:num w:numId="13">
    <w:abstractNumId w:val="32"/>
  </w:num>
  <w:num w:numId="14">
    <w:abstractNumId w:val="43"/>
  </w:num>
  <w:num w:numId="15">
    <w:abstractNumId w:val="2"/>
  </w:num>
  <w:num w:numId="16">
    <w:abstractNumId w:val="34"/>
  </w:num>
  <w:num w:numId="17">
    <w:abstractNumId w:val="11"/>
  </w:num>
  <w:num w:numId="18">
    <w:abstractNumId w:val="7"/>
  </w:num>
  <w:num w:numId="19">
    <w:abstractNumId w:val="21"/>
  </w:num>
  <w:num w:numId="20">
    <w:abstractNumId w:val="30"/>
  </w:num>
  <w:num w:numId="21">
    <w:abstractNumId w:val="38"/>
  </w:num>
  <w:num w:numId="22">
    <w:abstractNumId w:val="12"/>
  </w:num>
  <w:num w:numId="23">
    <w:abstractNumId w:val="6"/>
  </w:num>
  <w:num w:numId="24">
    <w:abstractNumId w:val="31"/>
  </w:num>
  <w:num w:numId="25">
    <w:abstractNumId w:val="48"/>
  </w:num>
  <w:num w:numId="26">
    <w:abstractNumId w:val="23"/>
  </w:num>
  <w:num w:numId="27">
    <w:abstractNumId w:val="42"/>
  </w:num>
  <w:num w:numId="28">
    <w:abstractNumId w:val="14"/>
  </w:num>
  <w:num w:numId="29">
    <w:abstractNumId w:val="18"/>
  </w:num>
  <w:num w:numId="30">
    <w:abstractNumId w:val="36"/>
  </w:num>
  <w:num w:numId="31">
    <w:abstractNumId w:val="8"/>
  </w:num>
  <w:num w:numId="32">
    <w:abstractNumId w:val="39"/>
  </w:num>
  <w:num w:numId="33">
    <w:abstractNumId w:val="4"/>
  </w:num>
  <w:num w:numId="34">
    <w:abstractNumId w:val="9"/>
  </w:num>
  <w:num w:numId="35">
    <w:abstractNumId w:val="28"/>
  </w:num>
  <w:num w:numId="36">
    <w:abstractNumId w:val="33"/>
  </w:num>
  <w:num w:numId="37">
    <w:abstractNumId w:val="15"/>
  </w:num>
  <w:num w:numId="38">
    <w:abstractNumId w:val="5"/>
  </w:num>
  <w:num w:numId="39">
    <w:abstractNumId w:val="13"/>
  </w:num>
  <w:num w:numId="40">
    <w:abstractNumId w:val="44"/>
  </w:num>
  <w:num w:numId="41">
    <w:abstractNumId w:val="37"/>
  </w:num>
  <w:num w:numId="42">
    <w:abstractNumId w:val="3"/>
  </w:num>
  <w:num w:numId="43">
    <w:abstractNumId w:val="22"/>
  </w:num>
  <w:num w:numId="44">
    <w:abstractNumId w:val="16"/>
  </w:num>
  <w:num w:numId="45">
    <w:abstractNumId w:val="17"/>
  </w:num>
  <w:num w:numId="46">
    <w:abstractNumId w:val="10"/>
  </w:num>
  <w:num w:numId="47">
    <w:abstractNumId w:val="26"/>
  </w:num>
  <w:num w:numId="48">
    <w:abstractNumId w:val="24"/>
  </w:num>
  <w:num w:numId="49">
    <w:abstractNumId w:val="46"/>
  </w:num>
  <w:num w:numId="5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4DC"/>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ADB"/>
    <w:rsid w:val="00073BA5"/>
    <w:rsid w:val="00074238"/>
    <w:rsid w:val="000743BF"/>
    <w:rsid w:val="000745B0"/>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2A1F"/>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286"/>
    <w:rsid w:val="001F5CBC"/>
    <w:rsid w:val="001F6168"/>
    <w:rsid w:val="001F68BF"/>
    <w:rsid w:val="001F69C0"/>
    <w:rsid w:val="001F797C"/>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395A"/>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CBE"/>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5C02"/>
    <w:rsid w:val="00336119"/>
    <w:rsid w:val="0033613D"/>
    <w:rsid w:val="00337039"/>
    <w:rsid w:val="00337465"/>
    <w:rsid w:val="00337C42"/>
    <w:rsid w:val="00340362"/>
    <w:rsid w:val="00340CA8"/>
    <w:rsid w:val="00340D13"/>
    <w:rsid w:val="003418ED"/>
    <w:rsid w:val="00341CF7"/>
    <w:rsid w:val="00341E3A"/>
    <w:rsid w:val="003421D7"/>
    <w:rsid w:val="003422E2"/>
    <w:rsid w:val="003425B9"/>
    <w:rsid w:val="0034299D"/>
    <w:rsid w:val="00344496"/>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E71"/>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93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87B"/>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A65"/>
    <w:rsid w:val="00443B52"/>
    <w:rsid w:val="0044418D"/>
    <w:rsid w:val="0044522C"/>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B5E"/>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AA6"/>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4ED"/>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6E7"/>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0C0"/>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5ECC"/>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9F7A6D"/>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B97"/>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7D"/>
    <w:rsid w:val="00AB72BF"/>
    <w:rsid w:val="00AB7451"/>
    <w:rsid w:val="00AB7884"/>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6E1"/>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0EBF"/>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BFC"/>
    <w:rsid w:val="00B41E37"/>
    <w:rsid w:val="00B41F5F"/>
    <w:rsid w:val="00B42594"/>
    <w:rsid w:val="00B434EA"/>
    <w:rsid w:val="00B43705"/>
    <w:rsid w:val="00B447E9"/>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B41"/>
    <w:rsid w:val="00B8094F"/>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502DD"/>
    <w:rsid w:val="00C50A52"/>
    <w:rsid w:val="00C514D7"/>
    <w:rsid w:val="00C51B3F"/>
    <w:rsid w:val="00C51E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546"/>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62FA"/>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737"/>
    <w:rsid w:val="00CC7940"/>
    <w:rsid w:val="00CC7994"/>
    <w:rsid w:val="00CC799A"/>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2ABB"/>
    <w:rsid w:val="00D040BB"/>
    <w:rsid w:val="00D048C4"/>
    <w:rsid w:val="00D04AFA"/>
    <w:rsid w:val="00D0512B"/>
    <w:rsid w:val="00D05C88"/>
    <w:rsid w:val="00D06452"/>
    <w:rsid w:val="00D06496"/>
    <w:rsid w:val="00D069F6"/>
    <w:rsid w:val="00D06F9A"/>
    <w:rsid w:val="00D072D3"/>
    <w:rsid w:val="00D072E6"/>
    <w:rsid w:val="00D074C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3F9"/>
    <w:rsid w:val="00D34717"/>
    <w:rsid w:val="00D34A9D"/>
    <w:rsid w:val="00D35402"/>
    <w:rsid w:val="00D36628"/>
    <w:rsid w:val="00D3672E"/>
    <w:rsid w:val="00D36C40"/>
    <w:rsid w:val="00D36F1B"/>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4BAE"/>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0A6"/>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222"/>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87D8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5127"/>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4117"/>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75"/>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29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0199392">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CE105-1192-4A26-ACC6-C466CAD03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1021</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2019-01-02T09:07:00Z</dcterms:created>
  <dcterms:modified xsi:type="dcterms:W3CDTF">2019-02-15T15:40:00Z</dcterms:modified>
</cp:coreProperties>
</file>